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56"/>
          <w:szCs w:val="36"/>
        </w:rPr>
      </w:pPr>
      <w:bookmarkStart w:id="8" w:name="_GoBack"/>
      <w:bookmarkEnd w:id="8"/>
      <w:r>
        <w:rPr>
          <w:rFonts w:hint="eastAsia"/>
          <w:sz w:val="56"/>
          <w:szCs w:val="36"/>
        </w:rPr>
        <w:t>台州湾新区公交候车亭建设采购项目（第四批）</w:t>
      </w:r>
    </w:p>
    <w:p>
      <w:pPr>
        <w:jc w:val="center"/>
        <w:rPr>
          <w:rFonts w:hint="eastAsia"/>
          <w:sz w:val="56"/>
          <w:szCs w:val="36"/>
          <w:lang w:val="en-US" w:eastAsia="zh-CN"/>
        </w:rPr>
      </w:pPr>
      <w:r>
        <w:rPr>
          <w:rFonts w:hint="eastAsia"/>
          <w:sz w:val="56"/>
          <w:szCs w:val="36"/>
          <w:lang w:val="en-US" w:eastAsia="zh-CN"/>
        </w:rPr>
        <w:t>询</w:t>
      </w:r>
    </w:p>
    <w:p>
      <w:pPr>
        <w:jc w:val="center"/>
        <w:rPr>
          <w:rFonts w:hint="eastAsia"/>
          <w:sz w:val="56"/>
          <w:szCs w:val="36"/>
          <w:lang w:val="en-US" w:eastAsia="zh-CN"/>
        </w:rPr>
      </w:pPr>
    </w:p>
    <w:p>
      <w:pPr>
        <w:jc w:val="center"/>
        <w:rPr>
          <w:rFonts w:hint="eastAsia" w:eastAsiaTheme="minorEastAsia"/>
          <w:sz w:val="56"/>
          <w:szCs w:val="36"/>
          <w:lang w:val="en-US" w:eastAsia="zh-CN"/>
        </w:rPr>
      </w:pPr>
      <w:r>
        <w:rPr>
          <w:rFonts w:hint="eastAsia"/>
          <w:sz w:val="56"/>
          <w:szCs w:val="36"/>
          <w:lang w:val="en-US" w:eastAsia="zh-CN"/>
        </w:rPr>
        <w:t>价</w:t>
      </w:r>
    </w:p>
    <w:p>
      <w:pPr>
        <w:jc w:val="center"/>
        <w:rPr>
          <w:rFonts w:hint="eastAsia"/>
          <w:sz w:val="56"/>
          <w:szCs w:val="36"/>
        </w:rPr>
      </w:pPr>
    </w:p>
    <w:p>
      <w:pPr>
        <w:jc w:val="center"/>
        <w:rPr>
          <w:sz w:val="56"/>
          <w:szCs w:val="36"/>
        </w:rPr>
      </w:pPr>
      <w:r>
        <w:rPr>
          <w:rFonts w:hint="eastAsia"/>
          <w:sz w:val="56"/>
          <w:szCs w:val="36"/>
        </w:rPr>
        <w:t>文</w:t>
      </w:r>
    </w:p>
    <w:p>
      <w:pPr>
        <w:jc w:val="center"/>
        <w:rPr>
          <w:sz w:val="56"/>
          <w:szCs w:val="36"/>
        </w:rPr>
      </w:pPr>
    </w:p>
    <w:p>
      <w:pPr>
        <w:jc w:val="center"/>
        <w:rPr>
          <w:sz w:val="56"/>
          <w:szCs w:val="36"/>
        </w:rPr>
      </w:pPr>
      <w:r>
        <w:rPr>
          <w:rFonts w:hint="eastAsia"/>
          <w:sz w:val="56"/>
          <w:szCs w:val="36"/>
        </w:rPr>
        <w:t>件</w:t>
      </w:r>
    </w:p>
    <w:p>
      <w:pPr>
        <w:pStyle w:val="6"/>
        <w:ind w:firstLine="1120"/>
        <w:rPr>
          <w:sz w:val="56"/>
          <w:szCs w:val="56"/>
        </w:rPr>
      </w:pPr>
    </w:p>
    <w:p>
      <w:pPr>
        <w:rPr>
          <w:sz w:val="56"/>
          <w:szCs w:val="56"/>
        </w:rPr>
      </w:pPr>
    </w:p>
    <w:p>
      <w:pPr>
        <w:pStyle w:val="6"/>
        <w:ind w:firstLine="1120"/>
        <w:rPr>
          <w:sz w:val="56"/>
          <w:szCs w:val="56"/>
        </w:rPr>
      </w:pPr>
    </w:p>
    <w:p>
      <w:pPr>
        <w:rPr>
          <w:sz w:val="56"/>
          <w:szCs w:val="56"/>
        </w:rPr>
      </w:pPr>
    </w:p>
    <w:p>
      <w:pPr>
        <w:pStyle w:val="6"/>
      </w:pPr>
    </w:p>
    <w:p>
      <w:pPr>
        <w:jc w:val="center"/>
        <w:rPr>
          <w:sz w:val="48"/>
          <w:szCs w:val="28"/>
        </w:rPr>
      </w:pPr>
      <w:r>
        <w:rPr>
          <w:rFonts w:hint="eastAsia"/>
          <w:sz w:val="48"/>
          <w:szCs w:val="28"/>
        </w:rPr>
        <w:t>台州市畅行智慧交通科技有限公司</w:t>
      </w:r>
    </w:p>
    <w:p>
      <w:pPr>
        <w:pStyle w:val="6"/>
      </w:pPr>
      <w:r>
        <w:rPr>
          <w:rFonts w:hint="eastAsia"/>
        </w:rPr>
        <w:t>2022年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p>
      <w:r>
        <w:rPr>
          <w:rFonts w:hint="eastAsia"/>
        </w:rPr>
        <w:br w:type="page"/>
      </w:r>
    </w:p>
    <w:p>
      <w:pPr>
        <w:pStyle w:val="2"/>
        <w:ind w:firstLine="803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第一章 评</w:t>
      </w:r>
      <w:r>
        <w:rPr>
          <w:rFonts w:hint="eastAsia"/>
          <w:color w:val="auto"/>
          <w:sz w:val="32"/>
          <w:szCs w:val="32"/>
          <w:lang w:val="en-US" w:eastAsia="zh-CN"/>
        </w:rPr>
        <w:t>分</w:t>
      </w:r>
      <w:r>
        <w:rPr>
          <w:rFonts w:hint="eastAsia"/>
          <w:color w:val="auto"/>
          <w:sz w:val="32"/>
          <w:szCs w:val="32"/>
        </w:rPr>
        <w:t>办法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bookmarkStart w:id="0" w:name="_Toc244002838"/>
      <w:bookmarkStart w:id="1" w:name="_Toc396729614"/>
      <w:r>
        <w:rPr>
          <w:rFonts w:hint="eastAsia" w:ascii="宋体" w:hAnsi="宋体" w:eastAsia="宋体"/>
          <w:b/>
          <w:sz w:val="24"/>
        </w:rPr>
        <w:t>本项目的评</w:t>
      </w:r>
      <w:r>
        <w:rPr>
          <w:rFonts w:hint="eastAsia" w:ascii="宋体" w:hAnsi="宋体" w:eastAsia="宋体"/>
          <w:b/>
          <w:sz w:val="24"/>
          <w:lang w:val="en-US" w:eastAsia="zh-CN"/>
        </w:rPr>
        <w:t>分</w:t>
      </w:r>
      <w:r>
        <w:rPr>
          <w:rFonts w:hint="eastAsia" w:ascii="宋体" w:hAnsi="宋体" w:eastAsia="宋体"/>
          <w:b/>
          <w:sz w:val="24"/>
        </w:rPr>
        <w:t>办法采用综合评估法。</w:t>
      </w:r>
      <w:bookmarkEnd w:id="0"/>
      <w:bookmarkEnd w:id="1"/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资信技术评审（10分）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napToGrid w:val="0"/>
          <w:sz w:val="24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lang w:eastAsia="zh-CN"/>
        </w:rPr>
        <w:t>评审委员会</w:t>
      </w:r>
      <w:r>
        <w:rPr>
          <w:rFonts w:hint="eastAsia" w:ascii="宋体" w:hAnsi="宋体" w:eastAsia="宋体" w:cs="宋体"/>
          <w:b/>
          <w:bCs/>
          <w:snapToGrid w:val="0"/>
          <w:sz w:val="24"/>
        </w:rPr>
        <w:t>成员针对</w:t>
      </w:r>
      <w:r>
        <w:rPr>
          <w:rFonts w:hint="eastAsia" w:ascii="宋体" w:hAnsi="宋体" w:eastAsia="宋体" w:cs="宋体"/>
          <w:b/>
          <w:bCs/>
          <w:snapToGrid w:val="0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napToGrid w:val="0"/>
          <w:sz w:val="24"/>
        </w:rPr>
        <w:t>的资信技术进行评审。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napToGrid w:val="0"/>
          <w:sz w:val="24"/>
        </w:rPr>
      </w:pPr>
      <w:r>
        <w:rPr>
          <w:rFonts w:hint="eastAsia" w:ascii="宋体" w:hAnsi="宋体" w:eastAsia="宋体" w:cs="宋体"/>
          <w:snapToGrid w:val="0"/>
          <w:sz w:val="24"/>
        </w:rPr>
        <w:t>具体评分步骤如下：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napToGrid w:val="0"/>
          <w:sz w:val="24"/>
        </w:rPr>
      </w:pPr>
      <w:r>
        <w:rPr>
          <w:rFonts w:hint="eastAsia" w:ascii="宋体" w:hAnsi="宋体" w:eastAsia="宋体" w:cs="宋体"/>
          <w:snapToGrid w:val="0"/>
          <w:sz w:val="24"/>
          <w:lang w:eastAsia="zh-CN"/>
        </w:rPr>
        <w:t>评审委员会</w:t>
      </w:r>
      <w:r>
        <w:rPr>
          <w:rFonts w:hint="eastAsia" w:ascii="宋体" w:hAnsi="宋体" w:eastAsia="宋体" w:cs="宋体"/>
          <w:snapToGrid w:val="0"/>
          <w:sz w:val="24"/>
        </w:rPr>
        <w:t>成员视其科学性、针对性、可行性、先进性、完善程度对</w:t>
      </w:r>
      <w:r>
        <w:rPr>
          <w:rFonts w:hint="eastAsia" w:ascii="宋体" w:hAnsi="宋体" w:eastAsia="宋体" w:cs="宋体"/>
          <w:snapToGrid w:val="0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napToGrid w:val="0"/>
          <w:sz w:val="24"/>
        </w:rPr>
        <w:t>的技术文件给出评审意见。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</w:rPr>
        <w:t>技术文件的各项评审项目的最终类别按中位数法确定: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例：</w:t>
      </w:r>
    </w:p>
    <w:tbl>
      <w:tblPr>
        <w:tblStyle w:val="8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350"/>
        <w:gridCol w:w="23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评委1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评委2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评委3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一类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三类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二类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二类</w:t>
            </w:r>
          </w:p>
        </w:tc>
      </w:tr>
    </w:tbl>
    <w:p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napToGrid w:val="0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评审委员会</w:t>
      </w:r>
      <w:r>
        <w:rPr>
          <w:rFonts w:hint="eastAsia" w:ascii="宋体" w:hAnsi="宋体" w:eastAsia="宋体" w:cs="宋体"/>
          <w:sz w:val="24"/>
        </w:rPr>
        <w:t>成员按技术文件评分标准</w:t>
      </w:r>
      <w:r>
        <w:rPr>
          <w:rFonts w:hint="eastAsia" w:ascii="宋体" w:hAnsi="宋体" w:eastAsia="宋体" w:cs="宋体"/>
          <w:snapToGrid w:val="0"/>
          <w:sz w:val="24"/>
        </w:rPr>
        <w:t>，在确定的最终类别的分值范围内各自打分（小数点后保留1位），</w:t>
      </w:r>
      <w:r>
        <w:rPr>
          <w:rFonts w:hint="eastAsia" w:ascii="宋体" w:hAnsi="宋体" w:eastAsia="宋体" w:cs="宋体"/>
          <w:snapToGrid w:val="0"/>
          <w:sz w:val="24"/>
          <w:lang w:eastAsia="zh-CN"/>
        </w:rPr>
        <w:t>评审委员会</w:t>
      </w:r>
      <w:r>
        <w:rPr>
          <w:rFonts w:hint="eastAsia" w:ascii="宋体" w:hAnsi="宋体" w:eastAsia="宋体" w:cs="宋体"/>
          <w:snapToGrid w:val="0"/>
          <w:sz w:val="24"/>
        </w:rPr>
        <w:t>成员对应的合计得分的平均值作为</w:t>
      </w:r>
      <w:r>
        <w:rPr>
          <w:rFonts w:hint="eastAsia" w:ascii="宋体" w:hAnsi="宋体" w:eastAsia="宋体" w:cs="宋体"/>
          <w:snapToGrid w:val="0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napToGrid w:val="0"/>
          <w:sz w:val="24"/>
        </w:rPr>
        <w:t>技术文件的得分（小数点后保留2位，第3位四舍五入）。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</w:t>
      </w:r>
      <w:r>
        <w:rPr>
          <w:rFonts w:hint="eastAsia" w:ascii="宋体" w:hAnsi="宋体" w:eastAsia="宋体" w:cs="宋体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</w:rPr>
        <w:t>的技术文件得分低于及格分（</w:t>
      </w:r>
      <w:r>
        <w:rPr>
          <w:rFonts w:hint="eastAsia" w:ascii="宋体" w:hAnsi="宋体" w:eastAsia="宋体" w:cs="宋体"/>
          <w:b/>
          <w:sz w:val="24"/>
        </w:rPr>
        <w:t>及格分为所有评分项目二类最低分值合计总分,即6分</w:t>
      </w:r>
      <w:r>
        <w:rPr>
          <w:rFonts w:hint="eastAsia" w:ascii="宋体" w:hAnsi="宋体" w:eastAsia="宋体" w:cs="宋体"/>
          <w:sz w:val="24"/>
        </w:rPr>
        <w:t>）的，技术文件不予通过。技术文件不予通过的投标人予以淘汰，其</w:t>
      </w:r>
      <w:r>
        <w:rPr>
          <w:rFonts w:hint="eastAsia" w:ascii="宋体" w:hAnsi="宋体" w:eastAsia="宋体" w:cs="宋体"/>
          <w:sz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</w:rPr>
        <w:t>文件不再进入下一阶段评审。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napToGrid w:val="0"/>
          <w:sz w:val="24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</w:rPr>
        <w:t>技术文件评分标准</w:t>
      </w:r>
    </w:p>
    <w:tbl>
      <w:tblPr>
        <w:tblStyle w:val="7"/>
        <w:tblW w:w="9401" w:type="dxa"/>
        <w:tblInd w:w="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255"/>
        <w:gridCol w:w="1686"/>
        <w:gridCol w:w="1517"/>
        <w:gridCol w:w="151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评审项目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分值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一类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二类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针对本工程的特点、难点分析和解决措施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5-4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3.9-3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施工方案及安全保证措施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5-4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3.9-3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2.9-2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商务评审（90分）</w:t>
      </w:r>
    </w:p>
    <w:p>
      <w:pPr>
        <w:pStyle w:val="10"/>
        <w:numPr>
          <w:ilvl w:val="0"/>
          <w:numId w:val="4"/>
        </w:num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基准价</w:t>
      </w:r>
    </w:p>
    <w:p>
      <w:pPr>
        <w:pStyle w:val="1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cs="宋体"/>
          <w:sz w:val="24"/>
          <w:szCs w:val="24"/>
        </w:rPr>
        <w:t>限价乘以调整系数作为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基准</w:t>
      </w:r>
      <w:r>
        <w:rPr>
          <w:rFonts w:hint="eastAsia" w:ascii="宋体" w:hAnsi="宋体" w:cs="宋体"/>
          <w:sz w:val="24"/>
          <w:szCs w:val="24"/>
        </w:rPr>
        <w:t>价，即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基准价</w:t>
      </w:r>
      <w:r>
        <w:rPr>
          <w:rFonts w:hint="eastAsia" w:ascii="宋体" w:hAnsi="宋体" w:cs="宋体"/>
          <w:sz w:val="24"/>
          <w:szCs w:val="24"/>
        </w:rPr>
        <w:t>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cs="宋体"/>
          <w:sz w:val="24"/>
          <w:szCs w:val="24"/>
        </w:rPr>
        <w:t>限价×调整系数。（以元为单位，保留整数，小数点后第1位四舍五入）</w:t>
      </w:r>
    </w:p>
    <w:p>
      <w:pPr>
        <w:pStyle w:val="1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调整系数＝（100–D）%，D值在0.2、0.4、0.6、0.8、1中随机抽取产生。</w:t>
      </w:r>
    </w:p>
    <w:p>
      <w:pPr>
        <w:pStyle w:val="10"/>
        <w:numPr>
          <w:ilvl w:val="0"/>
          <w:numId w:val="4"/>
        </w:num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商务得分</w:t>
      </w:r>
    </w:p>
    <w:p>
      <w:pPr>
        <w:pStyle w:val="1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供应商的</w:t>
      </w:r>
      <w:r>
        <w:rPr>
          <w:rFonts w:hint="eastAsia" w:ascii="宋体" w:hAnsi="宋体" w:cs="宋体"/>
          <w:sz w:val="24"/>
          <w:szCs w:val="24"/>
        </w:rPr>
        <w:t>报价等于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基准价</w:t>
      </w:r>
      <w:r>
        <w:rPr>
          <w:rFonts w:hint="eastAsia" w:ascii="宋体" w:hAnsi="宋体" w:cs="宋体"/>
          <w:sz w:val="24"/>
          <w:szCs w:val="24"/>
        </w:rPr>
        <w:t>的得90分。偏离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基准价</w:t>
      </w:r>
      <w:r>
        <w:rPr>
          <w:rFonts w:hint="eastAsia" w:ascii="宋体" w:hAnsi="宋体" w:cs="宋体"/>
          <w:sz w:val="24"/>
          <w:szCs w:val="24"/>
        </w:rPr>
        <w:t>的，每高于或每低于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基准价</w:t>
      </w:r>
      <w:r>
        <w:rPr>
          <w:rFonts w:hint="eastAsia" w:ascii="宋体" w:hAnsi="宋体" w:cs="宋体"/>
          <w:sz w:val="24"/>
          <w:szCs w:val="24"/>
        </w:rPr>
        <w:t>1个百分点的均扣1分，即商务得分=90-|(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sz w:val="24"/>
          <w:szCs w:val="24"/>
        </w:rPr>
        <w:t>报价-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基准价</w:t>
      </w:r>
      <w:r>
        <w:rPr>
          <w:rFonts w:hint="eastAsia" w:ascii="宋体" w:hAnsi="宋体" w:cs="宋体"/>
          <w:sz w:val="24"/>
          <w:szCs w:val="24"/>
        </w:rPr>
        <w:t>)|/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基准价</w:t>
      </w:r>
      <w:r>
        <w:rPr>
          <w:rFonts w:hint="eastAsia" w:ascii="宋体" w:hAnsi="宋体" w:cs="宋体"/>
          <w:sz w:val="24"/>
          <w:szCs w:val="24"/>
        </w:rPr>
        <w:t>×100×1（小数点后保留2位，小数点后第3位四舍五入）。</w:t>
      </w:r>
    </w:p>
    <w:p>
      <w:pPr>
        <w:pStyle w:val="10"/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评标总得分</w:t>
      </w:r>
    </w:p>
    <w:p>
      <w:pPr>
        <w:pStyle w:val="1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评标总得分</w:t>
      </w:r>
      <w:r>
        <w:rPr>
          <w:rFonts w:hint="eastAsia" w:ascii="宋体" w:hAnsi="宋体" w:cs="宋体"/>
          <w:sz w:val="24"/>
          <w:szCs w:val="24"/>
        </w:rPr>
        <w:t>＝商务得分+资信技术得分。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sz w:val="24"/>
        </w:rPr>
        <w:t>候选人的确定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评标总得分</w:t>
      </w:r>
      <w:r>
        <w:rPr>
          <w:rFonts w:hint="eastAsia" w:ascii="宋体" w:hAnsi="宋体" w:eastAsia="宋体" w:cs="宋体"/>
          <w:sz w:val="24"/>
        </w:rPr>
        <w:t>最高者为第一</w:t>
      </w:r>
      <w:r>
        <w:rPr>
          <w:rFonts w:hint="eastAsia" w:ascii="宋体" w:hAnsi="宋体" w:eastAsia="宋体" w:cs="宋体"/>
          <w:sz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</w:rPr>
        <w:t>候选人、次高者为第二</w:t>
      </w:r>
      <w:r>
        <w:rPr>
          <w:rFonts w:hint="eastAsia" w:ascii="宋体" w:hAnsi="宋体" w:eastAsia="宋体" w:cs="宋体"/>
          <w:sz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</w:rPr>
        <w:t>候选人。如出现评标总得分相同的，资信技术得分高者在先；如均相同的，则抽签确定。</w:t>
      </w:r>
    </w:p>
    <w:p>
      <w:pPr>
        <w:pStyle w:val="2"/>
        <w:ind w:firstLine="803"/>
        <w:rPr>
          <w:rFonts w:hint="eastAsia"/>
          <w:color w:val="auto"/>
          <w:sz w:val="32"/>
          <w:szCs w:val="32"/>
        </w:rPr>
      </w:pPr>
    </w:p>
    <w:p>
      <w:pPr>
        <w:pStyle w:val="2"/>
        <w:ind w:firstLine="803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第二章 </w:t>
      </w:r>
      <w:r>
        <w:rPr>
          <w:rFonts w:hint="eastAsia"/>
          <w:color w:val="auto"/>
          <w:sz w:val="32"/>
          <w:szCs w:val="32"/>
          <w:lang w:val="en-US" w:eastAsia="zh-CN"/>
        </w:rPr>
        <w:t>询价</w:t>
      </w:r>
      <w:r>
        <w:rPr>
          <w:rFonts w:hint="eastAsia"/>
          <w:color w:val="auto"/>
          <w:sz w:val="32"/>
          <w:szCs w:val="32"/>
        </w:rPr>
        <w:t>须知</w:t>
      </w:r>
    </w:p>
    <w:p>
      <w:pPr>
        <w:numPr>
          <w:ilvl w:val="0"/>
          <w:numId w:val="5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公交亭技术要求和数量</w:t>
      </w:r>
    </w:p>
    <w:p>
      <w:pPr>
        <w:numPr>
          <w:ilvl w:val="0"/>
          <w:numId w:val="6"/>
        </w:numPr>
        <w:spacing w:line="360" w:lineRule="auto"/>
        <w:ind w:firstLine="420" w:firstLineChars="200"/>
      </w:pPr>
      <w:r>
        <w:rPr>
          <w:rFonts w:hint="eastAsia"/>
        </w:rPr>
        <w:t>技术要求和位置：详见图纸（另行提供）</w:t>
      </w:r>
    </w:p>
    <w:p>
      <w:pPr>
        <w:numPr>
          <w:ilvl w:val="0"/>
          <w:numId w:val="6"/>
        </w:numPr>
        <w:spacing w:line="360" w:lineRule="auto"/>
        <w:ind w:firstLine="420" w:firstLineChars="200"/>
      </w:pPr>
      <w:r>
        <w:rPr>
          <w:rFonts w:hint="eastAsia"/>
        </w:rPr>
        <w:t>数量：20个。</w:t>
      </w:r>
    </w:p>
    <w:p>
      <w:pPr>
        <w:numPr>
          <w:ilvl w:val="0"/>
          <w:numId w:val="5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商务要求</w:t>
      </w:r>
    </w:p>
    <w:p>
      <w:pPr>
        <w:numPr>
          <w:ilvl w:val="0"/>
          <w:numId w:val="7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付款方式</w:t>
      </w:r>
    </w:p>
    <w:p>
      <w:pPr>
        <w:numPr>
          <w:ilvl w:val="0"/>
          <w:numId w:val="8"/>
        </w:numPr>
        <w:spacing w:line="360" w:lineRule="auto"/>
        <w:ind w:firstLine="420" w:firstLineChars="200"/>
      </w:pPr>
      <w:r>
        <w:rPr>
          <w:rFonts w:hint="eastAsia"/>
        </w:rPr>
        <w:t>单个公交站亭上限价格为83500元。</w:t>
      </w:r>
    </w:p>
    <w:p>
      <w:pPr>
        <w:numPr>
          <w:ilvl w:val="0"/>
          <w:numId w:val="8"/>
        </w:numPr>
        <w:spacing w:line="360" w:lineRule="auto"/>
        <w:ind w:firstLine="420" w:firstLineChars="200"/>
      </w:pPr>
      <w:r>
        <w:rPr>
          <w:rFonts w:hint="eastAsia"/>
        </w:rPr>
        <w:t>公交亭数量按时结算。</w:t>
      </w:r>
    </w:p>
    <w:p>
      <w:pPr>
        <w:numPr>
          <w:ilvl w:val="0"/>
          <w:numId w:val="8"/>
        </w:numPr>
        <w:spacing w:line="360" w:lineRule="auto"/>
        <w:ind w:firstLine="420" w:firstLineChars="200"/>
      </w:pPr>
      <w:r>
        <w:rPr>
          <w:rFonts w:hint="eastAsia"/>
        </w:rPr>
        <w:t>合同签订之日起支付合同金额的30%作为预付款；全部货物完工后付至合同金额的85%；项目验收合格后，付至结算金额的97%，质量保修期满后支付余款。付款期限为相应节点之日起15日历天内。</w:t>
      </w:r>
    </w:p>
    <w:p>
      <w:pPr>
        <w:numPr>
          <w:ilvl w:val="0"/>
          <w:numId w:val="7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质量保修期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三年，自验收合格之日起计。</w:t>
      </w:r>
    </w:p>
    <w:p>
      <w:pPr>
        <w:numPr>
          <w:ilvl w:val="0"/>
          <w:numId w:val="7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工期</w:t>
      </w:r>
    </w:p>
    <w:p>
      <w:pPr>
        <w:spacing w:line="360" w:lineRule="auto"/>
        <w:ind w:firstLine="420" w:firstLineChars="200"/>
      </w:pPr>
      <w:r>
        <w:rPr>
          <w:rFonts w:hint="eastAsia"/>
        </w:rPr>
        <w:t>2022年10月20日前完成公交候车亭体建设。</w:t>
      </w:r>
    </w:p>
    <w:p>
      <w:pPr>
        <w:numPr>
          <w:ilvl w:val="0"/>
          <w:numId w:val="5"/>
        </w:numPr>
        <w:spacing w:line="360" w:lineRule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询价</w:t>
      </w:r>
      <w:r>
        <w:rPr>
          <w:rFonts w:hint="eastAsia"/>
          <w:b/>
          <w:bCs/>
        </w:rPr>
        <w:t>文件组成</w:t>
      </w:r>
    </w:p>
    <w:p>
      <w:pPr>
        <w:numPr>
          <w:ilvl w:val="0"/>
          <w:numId w:val="9"/>
        </w:numPr>
        <w:spacing w:line="360" w:lineRule="auto"/>
      </w:pPr>
      <w:r>
        <w:rPr>
          <w:rFonts w:hint="eastAsia"/>
        </w:rPr>
        <w:t>资信技术</w:t>
      </w:r>
      <w:r>
        <w:rPr>
          <w:rFonts w:hint="eastAsia"/>
          <w:lang w:val="en-US" w:eastAsia="zh-CN"/>
        </w:rPr>
        <w:t>文件</w:t>
      </w:r>
    </w:p>
    <w:p>
      <w:pPr>
        <w:numPr>
          <w:ilvl w:val="0"/>
          <w:numId w:val="10"/>
        </w:numPr>
        <w:spacing w:line="360" w:lineRule="auto"/>
        <w:ind w:firstLine="420" w:firstLineChars="200"/>
      </w:pPr>
      <w:r>
        <w:rPr>
          <w:rFonts w:hint="eastAsia"/>
        </w:rPr>
        <w:t>营业执照</w:t>
      </w:r>
    </w:p>
    <w:p>
      <w:pPr>
        <w:numPr>
          <w:ilvl w:val="0"/>
          <w:numId w:val="10"/>
        </w:numPr>
        <w:spacing w:line="360" w:lineRule="auto"/>
        <w:ind w:firstLine="420" w:firstLineChars="200"/>
      </w:pPr>
      <w:r>
        <w:rPr>
          <w:rFonts w:hint="eastAsia"/>
        </w:rPr>
        <w:t>资质证书</w:t>
      </w:r>
    </w:p>
    <w:p>
      <w:pPr>
        <w:numPr>
          <w:ilvl w:val="0"/>
          <w:numId w:val="10"/>
        </w:numPr>
        <w:spacing w:line="360" w:lineRule="auto"/>
        <w:ind w:firstLine="420" w:firstLineChars="200"/>
      </w:pPr>
      <w:r>
        <w:rPr>
          <w:rFonts w:hint="eastAsia"/>
        </w:rPr>
        <w:t>技术方案（不超过10页，封面除外）</w:t>
      </w:r>
    </w:p>
    <w:p>
      <w:pPr>
        <w:numPr>
          <w:ilvl w:val="0"/>
          <w:numId w:val="9"/>
        </w:numPr>
        <w:spacing w:line="360" w:lineRule="auto"/>
      </w:pPr>
      <w:r>
        <w:rPr>
          <w:rFonts w:hint="eastAsia"/>
        </w:rPr>
        <w:t>商务</w:t>
      </w:r>
      <w:r>
        <w:rPr>
          <w:rFonts w:hint="eastAsia"/>
          <w:lang w:val="en-US" w:eastAsia="zh-CN"/>
        </w:rPr>
        <w:t>文件</w:t>
      </w:r>
    </w:p>
    <w:p>
      <w:pPr>
        <w:numPr>
          <w:ilvl w:val="0"/>
          <w:numId w:val="11"/>
        </w:num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供应商报价</w:t>
      </w:r>
      <w:r>
        <w:rPr>
          <w:rFonts w:hint="eastAsia"/>
        </w:rPr>
        <w:t>函</w:t>
      </w:r>
    </w:p>
    <w:p>
      <w:pPr>
        <w:numPr>
          <w:ilvl w:val="0"/>
          <w:numId w:val="5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其他</w:t>
      </w:r>
    </w:p>
    <w:p>
      <w:pPr>
        <w:numPr>
          <w:ilvl w:val="0"/>
          <w:numId w:val="12"/>
        </w:numPr>
        <w:spacing w:line="360" w:lineRule="auto"/>
        <w:ind w:firstLine="420" w:firstLineChars="200"/>
      </w:pPr>
      <w:r>
        <w:rPr>
          <w:rFonts w:hint="eastAsia"/>
        </w:rPr>
        <w:t>文件份数：一正二副。</w:t>
      </w:r>
    </w:p>
    <w:p>
      <w:pPr>
        <w:numPr>
          <w:ilvl w:val="0"/>
          <w:numId w:val="12"/>
        </w:num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评审</w:t>
      </w:r>
      <w:r>
        <w:rPr>
          <w:rFonts w:hint="eastAsia"/>
        </w:rPr>
        <w:t>顺序：先开资信技术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，待资信技术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评审结束，再开商务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。</w:t>
      </w:r>
    </w:p>
    <w:p>
      <w:pPr>
        <w:numPr>
          <w:ilvl w:val="0"/>
          <w:numId w:val="12"/>
        </w:numPr>
        <w:spacing w:line="360" w:lineRule="auto"/>
        <w:ind w:firstLine="420" w:firstLineChars="200"/>
      </w:pPr>
      <w:r>
        <w:rPr>
          <w:rFonts w:hint="eastAsia"/>
        </w:rPr>
        <w:t>文件提交地点与开标地点：浙江台州市椒江区黄海公路588号（客运总站西辅楼）215办公室</w:t>
      </w:r>
      <w:r>
        <w:rPr>
          <w:rFonts w:hint="eastAsia"/>
          <w:lang w:eastAsia="zh-CN"/>
        </w:rPr>
        <w:t>，</w:t>
      </w:r>
      <w:r>
        <w:rPr>
          <w:rFonts w:hint="eastAsia"/>
        </w:rPr>
        <w:t>罗先生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0576-88678995</w:t>
      </w:r>
    </w:p>
    <w:p>
      <w:pPr>
        <w:numPr>
          <w:ilvl w:val="0"/>
          <w:numId w:val="12"/>
        </w:num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投标文件</w:t>
      </w:r>
      <w:r>
        <w:rPr>
          <w:rFonts w:hint="eastAsia"/>
        </w:rPr>
        <w:t>提交</w:t>
      </w:r>
      <w:r>
        <w:rPr>
          <w:rFonts w:hint="eastAsia"/>
          <w:lang w:val="en-US" w:eastAsia="zh-CN"/>
        </w:rPr>
        <w:t>截止</w:t>
      </w: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2022年9月30日09：30</w:t>
      </w:r>
    </w:p>
    <w:p>
      <w:pPr>
        <w:numPr>
          <w:ilvl w:val="0"/>
          <w:numId w:val="12"/>
        </w:num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评审</w:t>
      </w:r>
      <w:r>
        <w:rPr>
          <w:rFonts w:hint="eastAsia"/>
        </w:rPr>
        <w:t>时间：2022年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日09:30</w:t>
      </w:r>
    </w:p>
    <w:p>
      <w:pPr>
        <w:numPr>
          <w:numId w:val="0"/>
        </w:numPr>
        <w:spacing w:line="360" w:lineRule="auto"/>
        <w:ind w:leftChars="200"/>
        <w:rPr>
          <w:rFonts w:hint="eastAsia"/>
        </w:rPr>
      </w:pPr>
    </w:p>
    <w:p>
      <w:pPr>
        <w:pStyle w:val="2"/>
        <w:ind w:firstLine="803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第三章 </w:t>
      </w:r>
      <w:r>
        <w:rPr>
          <w:rFonts w:hint="eastAsia"/>
          <w:color w:val="auto"/>
          <w:sz w:val="32"/>
          <w:szCs w:val="32"/>
          <w:lang w:val="en-US" w:eastAsia="zh-CN"/>
        </w:rPr>
        <w:t>报价</w:t>
      </w:r>
      <w:r>
        <w:rPr>
          <w:rFonts w:hint="eastAsia"/>
          <w:color w:val="auto"/>
          <w:sz w:val="32"/>
          <w:szCs w:val="32"/>
        </w:rPr>
        <w:t>文件格式</w:t>
      </w:r>
      <w:bookmarkStart w:id="2" w:name="_Toc18920"/>
    </w:p>
    <w:p>
      <w:pPr>
        <w:jc w:val="center"/>
        <w:outlineLvl w:val="0"/>
        <w:rPr>
          <w:rFonts w:ascii="黑体" w:hAnsi="宋体" w:eastAsia="黑体"/>
          <w:b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</w:rPr>
        <w:t>报价</w:t>
      </w:r>
      <w:r>
        <w:rPr>
          <w:rFonts w:hint="eastAsia" w:ascii="黑体" w:hAnsi="宋体" w:eastAsia="黑体"/>
          <w:b/>
          <w:sz w:val="44"/>
        </w:rPr>
        <w:t>函</w:t>
      </w:r>
      <w:bookmarkEnd w:id="2"/>
    </w:p>
    <w:p>
      <w:pPr>
        <w:pStyle w:val="5"/>
        <w:rPr>
          <w:rFonts w:hint="eastAsia" w:ascii="宋体" w:hAnsi="宋体" w:eastAsia="宋体"/>
          <w:bCs/>
          <w:sz w:val="24"/>
          <w:szCs w:val="24"/>
        </w:rPr>
      </w:pPr>
    </w:p>
    <w:p>
      <w:pPr>
        <w:pStyle w:val="5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台州市畅行智慧交通科技有限公司（招标人）：</w:t>
      </w:r>
    </w:p>
    <w:p>
      <w:pPr>
        <w:spacing w:line="480" w:lineRule="exact"/>
        <w:ind w:firstLine="480" w:firstLineChars="20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一、根据你方的</w:t>
      </w:r>
      <w:r>
        <w:rPr>
          <w:rFonts w:hint="eastAsia" w:ascii="宋体" w:hAnsi="宋体" w:eastAsia="宋体"/>
          <w:sz w:val="24"/>
          <w:u w:val="single"/>
        </w:rPr>
        <w:t>台州湾新区公交候车亭建设采购项目（第四批）</w:t>
      </w:r>
      <w:r>
        <w:rPr>
          <w:rFonts w:hint="eastAsia" w:ascii="宋体" w:hAnsi="宋体" w:eastAsia="宋体"/>
          <w:sz w:val="24"/>
        </w:rPr>
        <w:t>（工程项目名称）</w:t>
      </w:r>
      <w:r>
        <w:rPr>
          <w:rFonts w:hint="eastAsia" w:ascii="宋体" w:hAnsi="宋体" w:eastAsia="宋体"/>
          <w:sz w:val="24"/>
          <w:lang w:val="en-US" w:eastAsia="zh-CN"/>
        </w:rPr>
        <w:t>询价</w:t>
      </w:r>
      <w:r>
        <w:rPr>
          <w:rFonts w:hint="eastAsia" w:ascii="宋体" w:hAnsi="宋体" w:eastAsia="宋体"/>
          <w:sz w:val="24"/>
        </w:rPr>
        <w:t>文件，经考察现</w:t>
      </w:r>
      <w:r>
        <w:rPr>
          <w:rFonts w:hint="eastAsia" w:ascii="宋体" w:hAnsi="宋体" w:eastAsia="宋体"/>
          <w:w w:val="107"/>
          <w:sz w:val="24"/>
        </w:rPr>
        <w:t>场和研究上述</w:t>
      </w:r>
      <w:r>
        <w:rPr>
          <w:rFonts w:hint="eastAsia" w:ascii="宋体" w:hAnsi="宋体" w:eastAsia="宋体"/>
          <w:w w:val="107"/>
          <w:sz w:val="24"/>
          <w:lang w:val="en-US" w:eastAsia="zh-CN"/>
        </w:rPr>
        <w:t>询价</w:t>
      </w:r>
      <w:r>
        <w:rPr>
          <w:rFonts w:hint="eastAsia" w:ascii="宋体" w:hAnsi="宋体" w:eastAsia="宋体"/>
          <w:w w:val="107"/>
          <w:sz w:val="24"/>
        </w:rPr>
        <w:t>文件后，</w:t>
      </w:r>
      <w:r>
        <w:rPr>
          <w:rFonts w:hint="eastAsia" w:ascii="宋体" w:hAnsi="宋体" w:eastAsia="宋体"/>
          <w:sz w:val="24"/>
        </w:rPr>
        <w:t>在全部同意</w:t>
      </w:r>
      <w:r>
        <w:rPr>
          <w:rFonts w:hint="eastAsia" w:ascii="宋体" w:hAnsi="宋体" w:eastAsia="宋体"/>
          <w:sz w:val="24"/>
          <w:lang w:val="en-US" w:eastAsia="zh-CN"/>
        </w:rPr>
        <w:t>询价</w:t>
      </w:r>
      <w:r>
        <w:rPr>
          <w:rFonts w:hint="eastAsia" w:ascii="宋体" w:hAnsi="宋体" w:eastAsia="宋体"/>
          <w:sz w:val="24"/>
        </w:rPr>
        <w:t xml:space="preserve">文件内容前提下，我方保证： </w:t>
      </w:r>
    </w:p>
    <w:p>
      <w:pPr>
        <w:spacing w:line="480" w:lineRule="exact"/>
        <w:ind w:left="618" w:leftChars="180" w:hanging="240" w:hangingChars="1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 单个公交亭</w:t>
      </w:r>
      <w:r>
        <w:rPr>
          <w:rFonts w:hint="eastAsia" w:ascii="宋体" w:hAnsi="宋体" w:eastAsia="宋体"/>
          <w:w w:val="107"/>
          <w:sz w:val="24"/>
        </w:rPr>
        <w:t>报价人民币</w:t>
      </w:r>
      <w:r>
        <w:rPr>
          <w:rFonts w:hint="eastAsia" w:ascii="宋体" w:hAnsi="宋体" w:eastAsia="宋体"/>
          <w:sz w:val="24"/>
          <w:u w:val="single"/>
        </w:rPr>
        <w:t xml:space="preserve">   </w:t>
      </w:r>
      <w:r>
        <w:rPr>
          <w:rFonts w:hint="eastAsia" w:ascii="宋体" w:hAnsi="宋体" w:eastAsia="宋体"/>
          <w:sz w:val="24"/>
        </w:rPr>
        <w:t>万</w:t>
      </w:r>
      <w:r>
        <w:rPr>
          <w:rFonts w:hint="eastAsia" w:ascii="宋体" w:hAnsi="宋体" w:eastAsia="宋体"/>
          <w:w w:val="107"/>
          <w:sz w:val="24"/>
          <w:u w:val="single"/>
        </w:rPr>
        <w:t xml:space="preserve">   </w:t>
      </w:r>
      <w:r>
        <w:rPr>
          <w:rFonts w:hint="eastAsia" w:ascii="宋体" w:hAnsi="宋体" w:eastAsia="宋体"/>
          <w:sz w:val="24"/>
        </w:rPr>
        <w:t>仟</w:t>
      </w:r>
      <w:r>
        <w:rPr>
          <w:rFonts w:hint="eastAsia" w:ascii="宋体" w:hAnsi="宋体" w:eastAsia="宋体"/>
          <w:w w:val="107"/>
          <w:sz w:val="24"/>
          <w:u w:val="single"/>
        </w:rPr>
        <w:t xml:space="preserve">   </w:t>
      </w:r>
      <w:r>
        <w:rPr>
          <w:rFonts w:hint="eastAsia" w:ascii="宋体" w:hAnsi="宋体" w:eastAsia="宋体"/>
          <w:sz w:val="24"/>
        </w:rPr>
        <w:t>佰</w:t>
      </w:r>
      <w:r>
        <w:rPr>
          <w:rFonts w:hint="eastAsia" w:ascii="宋体" w:hAnsi="宋体" w:eastAsia="宋体"/>
          <w:w w:val="107"/>
          <w:sz w:val="24"/>
          <w:u w:val="single"/>
        </w:rPr>
        <w:t xml:space="preserve">   </w:t>
      </w:r>
      <w:r>
        <w:rPr>
          <w:rFonts w:hint="eastAsia" w:ascii="宋体" w:hAnsi="宋体" w:eastAsia="宋体"/>
          <w:sz w:val="24"/>
        </w:rPr>
        <w:t>拾</w:t>
      </w:r>
      <w:r>
        <w:rPr>
          <w:rFonts w:hint="eastAsia" w:ascii="宋体" w:hAnsi="宋体" w:eastAsia="宋体"/>
          <w:sz w:val="24"/>
          <w:u w:val="single"/>
        </w:rPr>
        <w:t xml:space="preserve">   </w:t>
      </w:r>
      <w:r>
        <w:rPr>
          <w:rFonts w:hint="eastAsia" w:ascii="宋体" w:hAnsi="宋体" w:eastAsia="宋体"/>
          <w:sz w:val="24"/>
        </w:rPr>
        <w:t>元整。(小写￥：</w:t>
      </w:r>
      <w:r>
        <w:rPr>
          <w:rFonts w:hint="eastAsia" w:ascii="宋体" w:hAnsi="宋体" w:eastAsia="宋体"/>
          <w:sz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</w:rPr>
        <w:t>元)。</w:t>
      </w:r>
    </w:p>
    <w:p>
      <w:pPr>
        <w:spacing w:line="480" w:lineRule="exact"/>
        <w:ind w:firstLine="58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2、总包工期：</w:t>
      </w:r>
      <w:r>
        <w:rPr>
          <w:rFonts w:hint="eastAsia" w:ascii="宋体" w:hAnsi="宋体" w:eastAsia="宋体"/>
          <w:sz w:val="24"/>
          <w:u w:val="single"/>
        </w:rPr>
        <w:t xml:space="preserve">     日历天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80" w:lineRule="exact"/>
        <w:ind w:firstLine="58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3、工程质量等级</w:t>
      </w:r>
      <w:r>
        <w:rPr>
          <w:rFonts w:hint="eastAsia" w:ascii="宋体" w:hAnsi="宋体" w:eastAsia="宋体"/>
          <w:sz w:val="24"/>
          <w:u w:val="single"/>
        </w:rPr>
        <w:t>合格</w:t>
      </w:r>
      <w:r>
        <w:rPr>
          <w:rFonts w:hint="eastAsia" w:ascii="宋体" w:hAnsi="宋体" w:eastAsia="宋体"/>
          <w:sz w:val="24"/>
        </w:rPr>
        <w:t>；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法定代表人（签字或签章）</w:t>
      </w:r>
      <w:r>
        <w:rPr>
          <w:rFonts w:hint="eastAsia" w:ascii="宋体" w:hAnsi="宋体" w:eastAsia="宋体"/>
          <w:sz w:val="24"/>
        </w:rPr>
        <w:t xml:space="preserve">：         </w:t>
      </w:r>
      <w:bookmarkStart w:id="3" w:name="_Hlt465761988"/>
      <w:bookmarkEnd w:id="3"/>
      <w:bookmarkStart w:id="4" w:name="_Hlk465759066"/>
      <w:r>
        <w:rPr>
          <w:rFonts w:hint="eastAsia" w:ascii="宋体" w:hAnsi="宋体" w:eastAsia="宋体"/>
          <w:sz w:val="24"/>
        </w:rPr>
        <w:t xml:space="preserve">          </w:t>
      </w:r>
      <w:bookmarkEnd w:id="4"/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投标人（公章）：</w:t>
      </w:r>
    </w:p>
    <w:p>
      <w:pPr>
        <w:jc w:val="right"/>
        <w:rPr>
          <w:rFonts w:ascii="宋体" w:hAnsi="宋体" w:eastAsia="宋体"/>
          <w:sz w:val="24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年   月   日</w:t>
      </w:r>
    </w:p>
    <w:p>
      <w:pPr>
        <w:rPr>
          <w:rFonts w:ascii="宋体" w:hAnsi="宋体" w:eastAsia="宋体"/>
          <w:sz w:val="24"/>
        </w:rPr>
        <w:sectPr>
          <w:headerReference r:id="rId3" w:type="first"/>
          <w:footnotePr>
            <w:numRestart w:val="eachPage"/>
          </w:footnotePr>
          <w:endnotePr>
            <w:numRestart w:val="eachSect"/>
          </w:endnotePr>
          <w:pgSz w:w="11907" w:h="16840"/>
          <w:pgMar w:top="1247" w:right="1361" w:bottom="1247" w:left="1361" w:header="851" w:footer="826" w:gutter="0"/>
          <w:cols w:space="720" w:num="1"/>
          <w:titlePg/>
          <w:docGrid w:linePitch="435" w:charSpace="-6554"/>
        </w:sectPr>
      </w:pPr>
      <w:r>
        <w:rPr>
          <w:rFonts w:hint="eastAsia" w:ascii="宋体" w:hAnsi="宋体" w:eastAsia="宋体"/>
          <w:sz w:val="24"/>
        </w:rPr>
        <w:br w:type="page"/>
      </w:r>
    </w:p>
    <w:p>
      <w:pPr>
        <w:jc w:val="center"/>
        <w:rPr>
          <w:rFonts w:ascii="黑体" w:eastAsia="黑体"/>
          <w:sz w:val="44"/>
        </w:rPr>
      </w:pPr>
      <w:bookmarkStart w:id="5" w:name="_Toc21126_WPSOffice_Level1"/>
      <w:bookmarkStart w:id="6" w:name="_Toc18399_WPSOffice_Level1"/>
      <w:bookmarkStart w:id="7" w:name="_Toc18845"/>
      <w:r>
        <w:rPr>
          <w:rFonts w:hint="eastAsia" w:ascii="黑体" w:eastAsia="黑体"/>
          <w:sz w:val="44"/>
        </w:rPr>
        <w:t>法定代表人授权委托书</w:t>
      </w:r>
      <w:bookmarkEnd w:id="5"/>
      <w:bookmarkEnd w:id="6"/>
      <w:bookmarkEnd w:id="7"/>
    </w:p>
    <w:p>
      <w:pPr>
        <w:adjustRightInd w:val="0"/>
        <w:snapToGrid w:val="0"/>
        <w:spacing w:before="156" w:beforeLines="50" w:line="360" w:lineRule="auto"/>
        <w:ind w:left="1079" w:leftChars="514" w:firstLine="560" w:firstLineChars="200"/>
        <w:rPr>
          <w:rFonts w:ascii="宋体" w:eastAsia="宋体"/>
          <w:sz w:val="28"/>
        </w:rPr>
      </w:pPr>
    </w:p>
    <w:p>
      <w:pPr>
        <w:adjustRightInd w:val="0"/>
        <w:snapToGrid w:val="0"/>
        <w:spacing w:before="156" w:beforeLines="50" w:line="360" w:lineRule="auto"/>
        <w:ind w:firstLine="600"/>
        <w:jc w:val="left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本授权委托书声明：我</w:t>
      </w:r>
      <w:r>
        <w:rPr>
          <w:rFonts w:hint="eastAsia" w:ascii="宋体" w:eastAsia="宋体"/>
          <w:sz w:val="28"/>
          <w:u w:val="single"/>
        </w:rPr>
        <w:t xml:space="preserve">         </w:t>
      </w:r>
      <w:r>
        <w:rPr>
          <w:rFonts w:hint="eastAsia" w:ascii="宋体" w:eastAsia="宋体"/>
          <w:sz w:val="28"/>
        </w:rPr>
        <w:t>（姓名）系</w:t>
      </w:r>
      <w:r>
        <w:rPr>
          <w:rFonts w:hint="eastAsia" w:ascii="宋体" w:eastAsia="宋体"/>
          <w:sz w:val="28"/>
          <w:u w:val="single"/>
        </w:rPr>
        <w:t xml:space="preserve">              </w:t>
      </w:r>
      <w:r>
        <w:rPr>
          <w:rFonts w:hint="eastAsia" w:ascii="宋体" w:eastAsia="宋体"/>
          <w:sz w:val="28"/>
        </w:rPr>
        <w:t>（投标人）的法定代表人，现授权委托我单位</w:t>
      </w:r>
      <w:r>
        <w:rPr>
          <w:rFonts w:hint="eastAsia" w:ascii="宋体" w:eastAsia="宋体"/>
          <w:sz w:val="28"/>
          <w:u w:val="single"/>
        </w:rPr>
        <w:t xml:space="preserve">        </w:t>
      </w:r>
      <w:r>
        <w:rPr>
          <w:rFonts w:hint="eastAsia" w:ascii="宋体" w:eastAsia="宋体"/>
          <w:sz w:val="28"/>
        </w:rPr>
        <w:t>（姓名）为我的代理人，以本单位的名义参加</w:t>
      </w:r>
      <w:r>
        <w:rPr>
          <w:rFonts w:hint="eastAsia" w:ascii="宋体" w:eastAsia="宋体"/>
          <w:sz w:val="28"/>
          <w:u w:val="single"/>
        </w:rPr>
        <w:t xml:space="preserve"> 台州市畅行智慧交通科技有限公司 </w:t>
      </w:r>
      <w:r>
        <w:rPr>
          <w:rFonts w:hint="eastAsia" w:ascii="宋体" w:eastAsia="宋体"/>
          <w:sz w:val="28"/>
        </w:rPr>
        <w:t>（招标人）的</w:t>
      </w:r>
      <w:r>
        <w:rPr>
          <w:rFonts w:hint="eastAsia" w:ascii="宋体" w:eastAsia="宋体"/>
          <w:sz w:val="28"/>
          <w:u w:val="single"/>
        </w:rPr>
        <w:t>台州湾新区公交候车亭建设采购项目（第四批）</w:t>
      </w:r>
      <w:r>
        <w:rPr>
          <w:rFonts w:hint="eastAsia" w:ascii="宋体" w:eastAsia="宋体"/>
          <w:sz w:val="28"/>
        </w:rPr>
        <w:t>（工程名称）的投标。代理人在该工程招投标活动中的一切事务，我均予以承认。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代理人无转委权，特此委托。</w:t>
      </w:r>
    </w:p>
    <w:p>
      <w:pPr>
        <w:adjustRightInd w:val="0"/>
        <w:snapToGrid w:val="0"/>
        <w:spacing w:before="156" w:beforeLines="50" w:line="360" w:lineRule="auto"/>
        <w:rPr>
          <w:rFonts w:ascii="宋体" w:eastAsia="宋体"/>
          <w:sz w:val="28"/>
        </w:rPr>
      </w:pPr>
    </w:p>
    <w:p>
      <w:pPr>
        <w:adjustRightInd w:val="0"/>
        <w:snapToGrid w:val="0"/>
        <w:spacing w:before="156" w:beforeLines="50" w:line="360" w:lineRule="auto"/>
        <w:rPr>
          <w:rFonts w:ascii="宋体" w:eastAsia="宋体"/>
          <w:sz w:val="28"/>
        </w:rPr>
      </w:pPr>
    </w:p>
    <w:p>
      <w:pPr>
        <w:adjustRightInd w:val="0"/>
        <w:snapToGrid w:val="0"/>
        <w:spacing w:before="156" w:beforeLines="50" w:line="360" w:lineRule="auto"/>
        <w:rPr>
          <w:rFonts w:ascii="宋体" w:eastAsia="宋体"/>
          <w:sz w:val="28"/>
        </w:rPr>
      </w:pPr>
    </w:p>
    <w:p>
      <w:pPr>
        <w:adjustRightInd w:val="0"/>
        <w:snapToGrid w:val="0"/>
        <w:spacing w:before="156" w:beforeLines="50" w:line="360" w:lineRule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投标人（公章）：</w:t>
      </w:r>
      <w:r>
        <w:rPr>
          <w:rFonts w:hint="eastAsia" w:ascii="宋体" w:eastAsia="宋体"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before="156" w:beforeLines="50" w:line="360" w:lineRule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法定代表人（签字或签章）：</w:t>
      </w:r>
      <w:r>
        <w:rPr>
          <w:rFonts w:hint="eastAsia" w:ascii="宋体" w:eastAsia="宋体"/>
          <w:sz w:val="28"/>
          <w:u w:val="single"/>
        </w:rPr>
        <w:t xml:space="preserve">                                     </w:t>
      </w:r>
    </w:p>
    <w:p>
      <w:pPr>
        <w:adjustRightInd w:val="0"/>
        <w:snapToGrid w:val="0"/>
        <w:spacing w:before="156" w:beforeLines="50" w:line="360" w:lineRule="auto"/>
        <w:rPr>
          <w:rFonts w:ascii="宋体" w:eastAsia="宋体"/>
          <w:sz w:val="28"/>
          <w:u w:val="single"/>
        </w:rPr>
      </w:pPr>
      <w:r>
        <w:rPr>
          <w:rFonts w:hint="eastAsia" w:ascii="宋体" w:eastAsia="宋体"/>
          <w:sz w:val="28"/>
        </w:rPr>
        <w:t>代理人：</w:t>
      </w:r>
      <w:r>
        <w:rPr>
          <w:rFonts w:hint="eastAsia" w:ascii="宋体" w:eastAsia="宋体"/>
          <w:sz w:val="28"/>
          <w:u w:val="single"/>
        </w:rPr>
        <w:t xml:space="preserve">                        </w:t>
      </w:r>
    </w:p>
    <w:p>
      <w:pPr>
        <w:adjustRightInd w:val="0"/>
        <w:snapToGrid w:val="0"/>
        <w:spacing w:before="156" w:beforeLines="50" w:line="360" w:lineRule="auto"/>
        <w:rPr>
          <w:rFonts w:ascii="宋体" w:eastAsia="宋体"/>
          <w:sz w:val="28"/>
          <w:u w:val="single"/>
        </w:rPr>
      </w:pPr>
      <w:r>
        <w:rPr>
          <w:rFonts w:hint="eastAsia" w:ascii="宋体" w:eastAsia="宋体"/>
          <w:sz w:val="28"/>
        </w:rPr>
        <w:t>身份证号码：</w:t>
      </w:r>
      <w:r>
        <w:rPr>
          <w:rFonts w:hint="eastAsia" w:ascii="宋体" w:eastAsia="宋体"/>
          <w:sz w:val="28"/>
          <w:u w:val="single"/>
        </w:rPr>
        <w:t xml:space="preserve">                                      </w:t>
      </w:r>
    </w:p>
    <w:p>
      <w:pPr>
        <w:adjustRightInd w:val="0"/>
        <w:snapToGrid w:val="0"/>
        <w:spacing w:before="156" w:beforeLines="50" w:line="360" w:lineRule="auto"/>
      </w:pPr>
      <w:r>
        <w:rPr>
          <w:rFonts w:hint="eastAsia" w:ascii="宋体" w:eastAsia="宋体"/>
          <w:sz w:val="28"/>
        </w:rPr>
        <w:t>授权委托日期：</w:t>
      </w:r>
      <w:r>
        <w:rPr>
          <w:rFonts w:hint="eastAsia" w:ascii="宋体" w:eastAsia="宋体"/>
          <w:sz w:val="28"/>
          <w:u w:val="single"/>
        </w:rPr>
        <w:t xml:space="preserve">           </w:t>
      </w:r>
      <w:r>
        <w:rPr>
          <w:rFonts w:hint="eastAsia" w:ascii="宋体" w:eastAsia="宋体"/>
          <w:sz w:val="28"/>
        </w:rPr>
        <w:t xml:space="preserve"> 年 </w:t>
      </w:r>
      <w:r>
        <w:rPr>
          <w:rFonts w:hint="eastAsia" w:ascii="宋体" w:eastAsia="宋体"/>
          <w:sz w:val="28"/>
          <w:u w:val="single"/>
        </w:rPr>
        <w:t xml:space="preserve">           </w:t>
      </w:r>
      <w:r>
        <w:rPr>
          <w:rFonts w:hint="eastAsia" w:ascii="宋体" w:eastAsia="宋体"/>
          <w:sz w:val="28"/>
        </w:rPr>
        <w:t>月</w:t>
      </w:r>
      <w:r>
        <w:rPr>
          <w:rFonts w:hint="eastAsia" w:ascii="宋体" w:eastAsia="宋体"/>
          <w:sz w:val="28"/>
          <w:u w:val="single"/>
        </w:rPr>
        <w:t xml:space="preserve">             </w:t>
      </w:r>
      <w:r>
        <w:rPr>
          <w:rFonts w:hint="eastAsia" w:ascii="宋体" w:eastAsia="宋体"/>
          <w:sz w:val="28"/>
        </w:rPr>
        <w:t>日</w:t>
      </w:r>
    </w:p>
    <w:p>
      <w:pPr>
        <w:pStyle w:val="6"/>
      </w:pPr>
    </w:p>
    <w:p>
      <w:pPr>
        <w:spacing w:line="560" w:lineRule="exact"/>
        <w:jc w:val="right"/>
        <w:rPr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5C678"/>
    <w:multiLevelType w:val="singleLevel"/>
    <w:tmpl w:val="8245C67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164D9A4"/>
    <w:multiLevelType w:val="singleLevel"/>
    <w:tmpl w:val="C164D9A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CBD00EF"/>
    <w:multiLevelType w:val="singleLevel"/>
    <w:tmpl w:val="CCBD00E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54578FD"/>
    <w:multiLevelType w:val="singleLevel"/>
    <w:tmpl w:val="D54578F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DAA83701"/>
    <w:multiLevelType w:val="singleLevel"/>
    <w:tmpl w:val="DAA8370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FA0F9023"/>
    <w:multiLevelType w:val="singleLevel"/>
    <w:tmpl w:val="FA0F902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221F1FAA"/>
    <w:multiLevelType w:val="singleLevel"/>
    <w:tmpl w:val="221F1FA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2840E6D2"/>
    <w:multiLevelType w:val="singleLevel"/>
    <w:tmpl w:val="2840E6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37B9B2FD"/>
    <w:multiLevelType w:val="singleLevel"/>
    <w:tmpl w:val="37B9B2F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43F1FDDD"/>
    <w:multiLevelType w:val="singleLevel"/>
    <w:tmpl w:val="43F1FDD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0">
    <w:nsid w:val="4A2471C9"/>
    <w:multiLevelType w:val="singleLevel"/>
    <w:tmpl w:val="4A2471C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5BB2C803"/>
    <w:multiLevelType w:val="singleLevel"/>
    <w:tmpl w:val="5BB2C80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endnotePr>
    <w:numRestart w:val="eachSect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F24B4"/>
    <w:rsid w:val="01197F1C"/>
    <w:rsid w:val="014F5B2C"/>
    <w:rsid w:val="015F3F03"/>
    <w:rsid w:val="021361B2"/>
    <w:rsid w:val="02CE33C4"/>
    <w:rsid w:val="0322117A"/>
    <w:rsid w:val="03F16A22"/>
    <w:rsid w:val="03FF4FA3"/>
    <w:rsid w:val="043E6435"/>
    <w:rsid w:val="04CF1A85"/>
    <w:rsid w:val="04D81E42"/>
    <w:rsid w:val="04E2438A"/>
    <w:rsid w:val="04FA77EA"/>
    <w:rsid w:val="073331E6"/>
    <w:rsid w:val="083170BE"/>
    <w:rsid w:val="088E6ABD"/>
    <w:rsid w:val="08992B63"/>
    <w:rsid w:val="089B3929"/>
    <w:rsid w:val="08F118A1"/>
    <w:rsid w:val="09263A43"/>
    <w:rsid w:val="0A2212B9"/>
    <w:rsid w:val="0A6179D9"/>
    <w:rsid w:val="0B27219A"/>
    <w:rsid w:val="0B547666"/>
    <w:rsid w:val="0CA10AB1"/>
    <w:rsid w:val="0DF073D0"/>
    <w:rsid w:val="0ECA60B0"/>
    <w:rsid w:val="0EFF4E76"/>
    <w:rsid w:val="0F05738D"/>
    <w:rsid w:val="0FC84350"/>
    <w:rsid w:val="10F3207B"/>
    <w:rsid w:val="11BF24B4"/>
    <w:rsid w:val="128940E3"/>
    <w:rsid w:val="13984F20"/>
    <w:rsid w:val="14892590"/>
    <w:rsid w:val="149554FF"/>
    <w:rsid w:val="1584749F"/>
    <w:rsid w:val="15FF4956"/>
    <w:rsid w:val="16703C67"/>
    <w:rsid w:val="17F5286F"/>
    <w:rsid w:val="191D5F9B"/>
    <w:rsid w:val="197351A2"/>
    <w:rsid w:val="19A01CC5"/>
    <w:rsid w:val="1A63231E"/>
    <w:rsid w:val="1AF60A7D"/>
    <w:rsid w:val="1B8449C5"/>
    <w:rsid w:val="1CFE4ABD"/>
    <w:rsid w:val="1E03078C"/>
    <w:rsid w:val="1E3D0B2E"/>
    <w:rsid w:val="204B2C83"/>
    <w:rsid w:val="21FC778F"/>
    <w:rsid w:val="232977E9"/>
    <w:rsid w:val="255541C1"/>
    <w:rsid w:val="271E1E8C"/>
    <w:rsid w:val="27216246"/>
    <w:rsid w:val="27551C89"/>
    <w:rsid w:val="2B0B1235"/>
    <w:rsid w:val="2B7E646B"/>
    <w:rsid w:val="2E386352"/>
    <w:rsid w:val="2E8A5817"/>
    <w:rsid w:val="2EDC2424"/>
    <w:rsid w:val="2F4A3527"/>
    <w:rsid w:val="322E6556"/>
    <w:rsid w:val="338E45F5"/>
    <w:rsid w:val="33BB4B7D"/>
    <w:rsid w:val="33DD0414"/>
    <w:rsid w:val="33EB3D40"/>
    <w:rsid w:val="34B11C5C"/>
    <w:rsid w:val="34E747C9"/>
    <w:rsid w:val="367F468D"/>
    <w:rsid w:val="3881329B"/>
    <w:rsid w:val="392F777C"/>
    <w:rsid w:val="39326D06"/>
    <w:rsid w:val="3AF02695"/>
    <w:rsid w:val="3B101108"/>
    <w:rsid w:val="3C8C044A"/>
    <w:rsid w:val="3D3A7CB0"/>
    <w:rsid w:val="3E5638E2"/>
    <w:rsid w:val="3E774A77"/>
    <w:rsid w:val="40523F7A"/>
    <w:rsid w:val="4112467B"/>
    <w:rsid w:val="41E448FE"/>
    <w:rsid w:val="424952DD"/>
    <w:rsid w:val="42C33AE6"/>
    <w:rsid w:val="4560290F"/>
    <w:rsid w:val="45973F1B"/>
    <w:rsid w:val="45AB10C5"/>
    <w:rsid w:val="45DD1DB1"/>
    <w:rsid w:val="475352D3"/>
    <w:rsid w:val="4829228D"/>
    <w:rsid w:val="485820C1"/>
    <w:rsid w:val="4A3B1FC7"/>
    <w:rsid w:val="4CD73B87"/>
    <w:rsid w:val="4CE5522C"/>
    <w:rsid w:val="4E1864DC"/>
    <w:rsid w:val="4E910FED"/>
    <w:rsid w:val="4F0E47E4"/>
    <w:rsid w:val="4FB057A7"/>
    <w:rsid w:val="52285EC8"/>
    <w:rsid w:val="52FA2517"/>
    <w:rsid w:val="538E35A9"/>
    <w:rsid w:val="53CE0455"/>
    <w:rsid w:val="557026A1"/>
    <w:rsid w:val="56C8508B"/>
    <w:rsid w:val="570B5486"/>
    <w:rsid w:val="586C2F8B"/>
    <w:rsid w:val="591B4C65"/>
    <w:rsid w:val="591B6712"/>
    <w:rsid w:val="59D61EA2"/>
    <w:rsid w:val="5A3979B0"/>
    <w:rsid w:val="5A580174"/>
    <w:rsid w:val="5A74378A"/>
    <w:rsid w:val="5B226BFF"/>
    <w:rsid w:val="5BF91C75"/>
    <w:rsid w:val="5C90410F"/>
    <w:rsid w:val="5DC4233B"/>
    <w:rsid w:val="5F087104"/>
    <w:rsid w:val="5F2C7A4D"/>
    <w:rsid w:val="5F3C02CD"/>
    <w:rsid w:val="604D26CA"/>
    <w:rsid w:val="61A93C68"/>
    <w:rsid w:val="62846232"/>
    <w:rsid w:val="63FF2E04"/>
    <w:rsid w:val="64801A59"/>
    <w:rsid w:val="649435BE"/>
    <w:rsid w:val="65126167"/>
    <w:rsid w:val="663E6414"/>
    <w:rsid w:val="67574A28"/>
    <w:rsid w:val="6782458A"/>
    <w:rsid w:val="68A53723"/>
    <w:rsid w:val="68D157D5"/>
    <w:rsid w:val="69170795"/>
    <w:rsid w:val="693541A4"/>
    <w:rsid w:val="696306B7"/>
    <w:rsid w:val="69AC7379"/>
    <w:rsid w:val="6A090584"/>
    <w:rsid w:val="6A3F2F28"/>
    <w:rsid w:val="6A504608"/>
    <w:rsid w:val="6B700CA2"/>
    <w:rsid w:val="6C1503B4"/>
    <w:rsid w:val="6C4D7299"/>
    <w:rsid w:val="6C9159DD"/>
    <w:rsid w:val="6DEE6150"/>
    <w:rsid w:val="6E254CC4"/>
    <w:rsid w:val="6E3E30ED"/>
    <w:rsid w:val="6EBC0B06"/>
    <w:rsid w:val="6ED249AD"/>
    <w:rsid w:val="6FD93978"/>
    <w:rsid w:val="722D5309"/>
    <w:rsid w:val="72472ACB"/>
    <w:rsid w:val="728E343D"/>
    <w:rsid w:val="72B00412"/>
    <w:rsid w:val="763D2A6F"/>
    <w:rsid w:val="775F7F7A"/>
    <w:rsid w:val="78794851"/>
    <w:rsid w:val="78E25590"/>
    <w:rsid w:val="78ED2411"/>
    <w:rsid w:val="79270DF3"/>
    <w:rsid w:val="7C390D90"/>
    <w:rsid w:val="7C9F18AC"/>
    <w:rsid w:val="7CD51364"/>
    <w:rsid w:val="7D534978"/>
    <w:rsid w:val="7DAB54E4"/>
    <w:rsid w:val="7DF32705"/>
    <w:rsid w:val="7F2242C2"/>
    <w:rsid w:val="7F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ind w:firstLine="901" w:firstLineChars="250"/>
      <w:jc w:val="center"/>
      <w:outlineLvl w:val="0"/>
    </w:pPr>
    <w:rPr>
      <w:rFonts w:ascii="Arial" w:hAnsi="Arial" w:eastAsia="黑体" w:cs="Arial"/>
      <w:b/>
      <w:color w:val="000000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2022-09-26T02:13:00Z</dcterms:created>
  <dc:creator>Iris You</dc:creator>
  <cp:lastModifiedBy>Iris You</cp:lastModifiedBy>
  <dcterms:modified xsi:type="dcterms:W3CDTF">2022-09-26T02:18:51Z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